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CC358C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FD2F73" w:rsidRPr="00FD2F73">
        <w:rPr>
          <w:rFonts w:ascii="Verdana" w:hAnsi="Verdana"/>
          <w:sz w:val="18"/>
          <w:szCs w:val="18"/>
        </w:rPr>
        <w:t>Nákup sanitárních kontejnerů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43C89C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D2F73">
        <w:rPr>
          <w:rFonts w:ascii="Verdana" w:hAnsi="Verdana"/>
          <w:sz w:val="18"/>
          <w:szCs w:val="18"/>
        </w:rPr>
      </w:r>
      <w:r w:rsidR="00FD2F7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FD2F73" w:rsidRPr="00FD2F73">
        <w:rPr>
          <w:rFonts w:ascii="Verdana" w:hAnsi="Verdana"/>
          <w:sz w:val="18"/>
          <w:szCs w:val="18"/>
        </w:rPr>
        <w:t>Nákup sanitárních kontejnerů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957CE4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D2F73">
        <w:rPr>
          <w:rFonts w:ascii="Verdana" w:hAnsi="Verdana"/>
          <w:sz w:val="18"/>
          <w:szCs w:val="18"/>
        </w:rPr>
      </w:r>
      <w:r w:rsidR="00FD2F7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FD2F73" w:rsidRPr="00FD2F73">
        <w:rPr>
          <w:rFonts w:ascii="Verdana" w:hAnsi="Verdana"/>
          <w:sz w:val="18"/>
          <w:szCs w:val="18"/>
        </w:rPr>
        <w:t>Nákup sanitárních kontejnerů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28BD96F7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FD2F73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86252264">
    <w:abstractNumId w:val="5"/>
  </w:num>
  <w:num w:numId="2" w16cid:durableId="1607493875">
    <w:abstractNumId w:val="1"/>
  </w:num>
  <w:num w:numId="3" w16cid:durableId="453257369">
    <w:abstractNumId w:val="2"/>
  </w:num>
  <w:num w:numId="4" w16cid:durableId="1168523309">
    <w:abstractNumId w:val="4"/>
  </w:num>
  <w:num w:numId="5" w16cid:durableId="221984316">
    <w:abstractNumId w:val="0"/>
  </w:num>
  <w:num w:numId="6" w16cid:durableId="557018094">
    <w:abstractNumId w:val="6"/>
  </w:num>
  <w:num w:numId="7" w16cid:durableId="3436750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2F73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2020-01-31T12:43:00Z</dcterms:created>
  <dcterms:modified xsi:type="dcterms:W3CDTF">2023-12-06T08:47:00Z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